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13" w:rsidRDefault="00F45291" w:rsidP="00F17A47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40"/>
          <w:szCs w:val="24"/>
          <w:lang w:eastAsia="ru-RU"/>
        </w:rPr>
        <w:t>Консультация: «</w:t>
      </w:r>
      <w:r w:rsidR="00795F13" w:rsidRPr="00F17A47">
        <w:rPr>
          <w:rFonts w:ascii="Arial" w:eastAsia="Times New Roman" w:hAnsi="Arial" w:cs="Arial"/>
          <w:b/>
          <w:bCs/>
          <w:color w:val="404040" w:themeColor="text1" w:themeTint="BF"/>
          <w:sz w:val="40"/>
          <w:szCs w:val="24"/>
          <w:lang w:eastAsia="ru-RU"/>
        </w:rPr>
        <w:t>Как получить пенсию при смене жительства на территории России</w:t>
      </w:r>
      <w:r>
        <w:rPr>
          <w:rFonts w:ascii="Arial" w:eastAsia="Times New Roman" w:hAnsi="Arial" w:cs="Arial"/>
          <w:b/>
          <w:bCs/>
          <w:color w:val="404040" w:themeColor="text1" w:themeTint="BF"/>
          <w:sz w:val="40"/>
          <w:szCs w:val="24"/>
          <w:lang w:eastAsia="ru-RU"/>
        </w:rPr>
        <w:t>?»</w:t>
      </w:r>
    </w:p>
    <w:p w:rsidR="001834D1" w:rsidRPr="001834D1" w:rsidRDefault="001834D1" w:rsidP="001834D1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tbl>
      <w:tblPr>
        <w:tblW w:w="10848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/>
      </w:tblPr>
      <w:tblGrid>
        <w:gridCol w:w="10707"/>
        <w:gridCol w:w="141"/>
      </w:tblGrid>
      <w:tr w:rsidR="00F17A47" w:rsidRPr="00F17A47" w:rsidTr="008768CD">
        <w:trPr>
          <w:gridAfter w:val="1"/>
          <w:wAfter w:w="141" w:type="dxa"/>
          <w:tblCellSpacing w:w="0" w:type="dxa"/>
        </w:trPr>
        <w:tc>
          <w:tcPr>
            <w:tcW w:w="10707" w:type="dxa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5F13" w:rsidRPr="00F17A47" w:rsidRDefault="00795F13" w:rsidP="00F17A47">
            <w:pPr>
              <w:pStyle w:val="a3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b/>
                <w:color w:val="404040" w:themeColor="text1" w:themeTint="BF"/>
                <w:sz w:val="24"/>
                <w:lang w:eastAsia="ru-RU"/>
              </w:rPr>
            </w:pPr>
          </w:p>
        </w:tc>
      </w:tr>
      <w:tr w:rsidR="008768CD" w:rsidRPr="00F17A47" w:rsidTr="008768CD">
        <w:trPr>
          <w:tblCellSpacing w:w="0" w:type="dxa"/>
        </w:trPr>
        <w:tc>
          <w:tcPr>
            <w:tcW w:w="10848" w:type="dxa"/>
            <w:gridSpan w:val="2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8CD" w:rsidRPr="00F17A47" w:rsidRDefault="008768CD" w:rsidP="00B04D84">
            <w:pPr>
              <w:pStyle w:val="a3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</w:p>
        </w:tc>
      </w:tr>
      <w:tr w:rsidR="00F17A47" w:rsidRPr="00F17A47" w:rsidTr="008768CD">
        <w:trPr>
          <w:gridAfter w:val="1"/>
          <w:wAfter w:w="141" w:type="dxa"/>
          <w:tblCellSpacing w:w="0" w:type="dxa"/>
        </w:trPr>
        <w:tc>
          <w:tcPr>
            <w:tcW w:w="10707" w:type="dxa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F13" w:rsidRPr="00C33266" w:rsidRDefault="00C33266" w:rsidP="00F17A47">
            <w:pPr>
              <w:pStyle w:val="a3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r w:rsidR="00795F13"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Если пенсионер меняет место жительства на территории РФ, например, переезжает из одного региона на постоянное место жительства в другой регион, он должен своевременно уведомить об этом ПФР, чтобы выплатное (пенсионное) дело было переправлено по новому месту жительства.</w:t>
            </w:r>
          </w:p>
          <w:p w:rsidR="008768CD" w:rsidRDefault="00C33266" w:rsidP="00F17A47">
            <w:pPr>
              <w:pStyle w:val="a3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val="en-US"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</w:t>
            </w:r>
            <w:r w:rsidR="008768CD"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Дело в том, что выплата пенсии и формирование пенсионного дела производится территориальным органом ПФР по месту жительства пенсионера. Помимо этого от места жительства будет также зависеть размер социальной доплаты к пенсии и иных доплат, если пенсионер имеет на них право.</w:t>
            </w:r>
          </w:p>
          <w:p w:rsidR="008768CD" w:rsidRDefault="00C33266" w:rsidP="00F17A47">
            <w:pPr>
              <w:pStyle w:val="a3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val="en-US"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bookmarkStart w:id="0" w:name="_GoBack"/>
            <w:bookmarkEnd w:id="0"/>
            <w:r w:rsidR="008768CD"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Для перевода пенсионного дела необходимо обратиться в территориальный орган ПФР по новому месту жительства и подать заявление в письменном виде обязательно, указав адрес фактического места проживания. Обратиться с подобным заявлением можно даже в том случае, если пенсионер не зарегистрирован по новому месту жительства или месту пребывания на территории РФ.</w:t>
            </w:r>
          </w:p>
          <w:p w:rsidR="008768CD" w:rsidRPr="00C33266" w:rsidRDefault="008768CD" w:rsidP="00F17A47">
            <w:pPr>
              <w:pStyle w:val="a3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val="en-US" w:eastAsia="ru-RU"/>
              </w:rPr>
            </w:pP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Запрос на перевод дела оформляется в течение одного рабочего со дня обращения – день в день. После обработки запроса пенсионное дело перенаправляют не позднее трех рабочих дней. По новому месту жительства оформляется распоряжение о постановке его на учет и продлении выплаты пенсии не позднее двух рабочих дней. Однако окончательный срок ожидания пенсионного дела по новому месту жительства зависит от времени затраченного 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на его доставку организаций почтовой связи.</w:t>
            </w:r>
          </w:p>
          <w:p w:rsidR="008768CD" w:rsidRPr="008768CD" w:rsidRDefault="00C33266" w:rsidP="00F17A47">
            <w:pPr>
              <w:pStyle w:val="a3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</w:t>
            </w:r>
            <w:r w:rsidR="008768CD"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сли получаешь пенсию на банковскую карту, тоже нужно уведомить ПФР по новому месту жительства обязательно,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Во-первых, всё равно необходимо произвести перерасчёт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пенсии и иных доплат к ней в связи с переездом, а во-вторых, наличие пенсионного дела в территориальном органе ПФР по месту нового жительства поможет быстрее получить услуги ПФР при следующем обращении.</w:t>
            </w:r>
            <w:proofErr w:type="gramEnd"/>
          </w:p>
        </w:tc>
      </w:tr>
    </w:tbl>
    <w:p w:rsidR="00795F13" w:rsidRPr="00F17A47" w:rsidRDefault="00795F13" w:rsidP="00F17A47">
      <w:pPr>
        <w:pStyle w:val="a3"/>
        <w:tabs>
          <w:tab w:val="left" w:pos="836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eastAsia="ru-RU"/>
        </w:rPr>
      </w:pPr>
    </w:p>
    <w:p w:rsidR="00795F13" w:rsidRPr="00F17A47" w:rsidRDefault="00795F13" w:rsidP="00F17A47">
      <w:pPr>
        <w:pStyle w:val="a3"/>
        <w:tabs>
          <w:tab w:val="left" w:pos="836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eastAsia="ru-RU"/>
        </w:rPr>
      </w:pPr>
    </w:p>
    <w:p w:rsidR="00795F13" w:rsidRPr="00F17A47" w:rsidRDefault="00795F13" w:rsidP="00F17A47">
      <w:pPr>
        <w:pStyle w:val="a3"/>
        <w:tabs>
          <w:tab w:val="left" w:pos="836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eastAsia="ru-RU"/>
        </w:rPr>
      </w:pPr>
    </w:p>
    <w:p w:rsidR="00795F13" w:rsidRPr="00F17A47" w:rsidRDefault="00795F13" w:rsidP="00F17A47">
      <w:pPr>
        <w:pStyle w:val="a3"/>
        <w:tabs>
          <w:tab w:val="left" w:pos="8364"/>
        </w:tabs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</w:p>
    <w:sectPr w:rsidR="00795F13" w:rsidRPr="00F17A47" w:rsidSect="00F17A47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13"/>
    <w:rsid w:val="001834D1"/>
    <w:rsid w:val="00332AA4"/>
    <w:rsid w:val="00626997"/>
    <w:rsid w:val="00795F13"/>
    <w:rsid w:val="00825AED"/>
    <w:rsid w:val="008768CD"/>
    <w:rsid w:val="00AB3DED"/>
    <w:rsid w:val="00C33266"/>
    <w:rsid w:val="00D7595C"/>
    <w:rsid w:val="00EF0E52"/>
    <w:rsid w:val="00F17A47"/>
    <w:rsid w:val="00F4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A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A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16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Admin</cp:lastModifiedBy>
  <cp:revision>2</cp:revision>
  <dcterms:created xsi:type="dcterms:W3CDTF">2017-07-11T12:09:00Z</dcterms:created>
  <dcterms:modified xsi:type="dcterms:W3CDTF">2017-07-11T12:09:00Z</dcterms:modified>
</cp:coreProperties>
</file>